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 xml:space="preserve">1.   Content: </w:t>
      </w:r>
    </w:p>
    <w:p w:rsidR="0049602D" w:rsidRDefault="0049602D" w:rsidP="0049602D">
      <w:pPr>
        <w:pStyle w:val="ListParagraph"/>
        <w:ind w:left="1800" w:hanging="360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0"/>
          <w:szCs w:val="20"/>
        </w:rPr>
        <w:t>What is happening, project update, any new efficiencies/innovations, any lessons learnt, what makes it award winning?</w:t>
      </w:r>
    </w:p>
    <w:p w:rsidR="0049602D" w:rsidRDefault="0049602D" w:rsidP="0049602D">
      <w:pPr>
        <w:pStyle w:val="ListParagraph"/>
        <w:ind w:left="1800" w:hanging="360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0"/>
          <w:szCs w:val="20"/>
        </w:rPr>
        <w:t>Key stats: efficiencies, value, protected, habitat etc.</w:t>
      </w:r>
    </w:p>
    <w:p w:rsidR="0049602D" w:rsidRDefault="0049602D" w:rsidP="0049602D">
      <w:pPr>
        <w:pStyle w:val="ListParagraph"/>
        <w:ind w:left="1800" w:hanging="360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0"/>
          <w:szCs w:val="20"/>
        </w:rPr>
        <w:t>Target audience is the WEM supplier community (EA, contactors and consultancies) so making it interesting to them is paramount.</w:t>
      </w:r>
    </w:p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>2.      Word Count: 500 words</w:t>
      </w:r>
    </w:p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>3.     Head and shoulders photo of author</w:t>
      </w:r>
    </w:p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>4.     Links to any online content / links/ images/ vids</w:t>
      </w:r>
    </w:p>
    <w:p w:rsidR="0049602D" w:rsidRPr="0049602D" w:rsidRDefault="0049602D" w:rsidP="0049602D">
      <w:pPr>
        <w:pStyle w:val="ListParagraph"/>
        <w:ind w:hanging="360"/>
        <w:rPr>
          <w:lang w:val="fr-FR"/>
        </w:rPr>
      </w:pPr>
      <w:r w:rsidRPr="0049602D">
        <w:rPr>
          <w:sz w:val="20"/>
          <w:szCs w:val="20"/>
          <w:lang w:val="fr-FR"/>
        </w:rPr>
        <w:t xml:space="preserve">5.     Relevant photo x2 (hi </w:t>
      </w:r>
      <w:proofErr w:type="spellStart"/>
      <w:r w:rsidRPr="0049602D">
        <w:rPr>
          <w:sz w:val="20"/>
          <w:szCs w:val="20"/>
          <w:lang w:val="fr-FR"/>
        </w:rPr>
        <w:t>res</w:t>
      </w:r>
      <w:proofErr w:type="spellEnd"/>
      <w:r w:rsidRPr="0049602D">
        <w:rPr>
          <w:sz w:val="20"/>
          <w:szCs w:val="20"/>
          <w:lang w:val="fr-FR"/>
        </w:rPr>
        <w:t xml:space="preserve"> jpeg)</w:t>
      </w:r>
    </w:p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>6.     Relevant quote from client/stakeholder</w:t>
      </w:r>
    </w:p>
    <w:p w:rsidR="0049602D" w:rsidRDefault="0049602D" w:rsidP="0049602D">
      <w:pPr>
        <w:pStyle w:val="ListParagraph"/>
        <w:ind w:hanging="360"/>
      </w:pPr>
      <w:r>
        <w:rPr>
          <w:sz w:val="20"/>
          <w:szCs w:val="20"/>
        </w:rPr>
        <w:t xml:space="preserve">7.     Deadline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April </w:t>
      </w:r>
    </w:p>
    <w:p w:rsidR="00095EE6" w:rsidRDefault="00095EE6"/>
    <w:p w:rsidR="004C0108" w:rsidRDefault="004C0108" w:rsidP="004C0108">
      <w:pPr>
        <w:pStyle w:val="Heading1"/>
      </w:pPr>
      <w:r>
        <w:t>Town Beck FAS: Why the hype?</w:t>
      </w:r>
    </w:p>
    <w:p w:rsidR="004C0108" w:rsidRPr="004C0108" w:rsidRDefault="004C0108" w:rsidP="004C0108"/>
    <w:p w:rsidR="0049602D" w:rsidRDefault="0049602D">
      <w:r>
        <w:t xml:space="preserve">The Town Beck FAS scheme was substantially completed in March 2018 </w:t>
      </w:r>
      <w:r w:rsidR="004C0108">
        <w:t>after</w:t>
      </w:r>
      <w:r>
        <w:t xml:space="preserve"> almost 3 years of construction works.</w:t>
      </w:r>
      <w:r w:rsidR="00696D98">
        <w:t xml:space="preserve">  The project has featured in Current magazine </w:t>
      </w:r>
      <w:r w:rsidR="004C0108">
        <w:t>before</w:t>
      </w:r>
      <w:r w:rsidR="00696D98">
        <w:t xml:space="preserve">, but after receiving the ‘Highly Commended’ award at the Project Excellence Awards in the ‘Efficiency’ category, it was deemed worthwhile to share some of the key project learnings.  </w:t>
      </w:r>
    </w:p>
    <w:p w:rsidR="0049602D" w:rsidRDefault="0049602D">
      <w:r>
        <w:t>T</w:t>
      </w:r>
      <w:r w:rsidR="00696D98">
        <w:t>o re-cap, th</w:t>
      </w:r>
      <w:r w:rsidR="004C0108">
        <w:t>is</w:t>
      </w:r>
      <w:r>
        <w:t xml:space="preserve"> £9.6milion scheme</w:t>
      </w:r>
      <w:r w:rsidR="00696D98">
        <w:t xml:space="preserve"> in Ulverston, Cumbria</w:t>
      </w:r>
      <w:r>
        <w:t xml:space="preserve"> protect</w:t>
      </w:r>
      <w:r w:rsidR="00696D98">
        <w:t xml:space="preserve">s </w:t>
      </w:r>
      <w:r>
        <w:t>407 residential properties and  118 commercial businesses including critical infrastructure from a 1%</w:t>
      </w:r>
      <w:r w:rsidR="00696D98">
        <w:t xml:space="preserve"> </w:t>
      </w:r>
      <w:r>
        <w:t>AEP event</w:t>
      </w:r>
      <w:r w:rsidR="00696D98">
        <w:t xml:space="preserve"> within the Town Beck catchment.</w:t>
      </w:r>
    </w:p>
    <w:p w:rsidR="004C0108" w:rsidRDefault="0049602D">
      <w:r>
        <w:t>The success</w:t>
      </w:r>
      <w:r w:rsidR="00696D98">
        <w:t>ful delivery of this scheme stemmed from extremely strong project team relationships and a</w:t>
      </w:r>
      <w:r w:rsidR="00D555AA">
        <w:t xml:space="preserve"> </w:t>
      </w:r>
      <w:r w:rsidR="00696D98">
        <w:t xml:space="preserve">can-do attitude to problem solving.  </w:t>
      </w:r>
      <w:r w:rsidR="003D37F5">
        <w:t>Strategic p</w:t>
      </w:r>
      <w:r w:rsidR="00696D98">
        <w:t>artnerships were forged with LLFA’s and other key stakeholder</w:t>
      </w:r>
      <w:r w:rsidR="003D37F5">
        <w:t>s</w:t>
      </w:r>
      <w:r w:rsidR="004C0108">
        <w:t>,</w:t>
      </w:r>
      <w:r w:rsidR="00696D98">
        <w:t xml:space="preserve"> to</w:t>
      </w:r>
      <w:r w:rsidR="003D37F5">
        <w:t xml:space="preserve"> identify and</w:t>
      </w:r>
      <w:r w:rsidR="00696D98">
        <w:t xml:space="preserve"> agree funding contributions a</w:t>
      </w:r>
      <w:r w:rsidR="003D37F5">
        <w:t>s well as expedit</w:t>
      </w:r>
      <w:r w:rsidR="004C0108">
        <w:t>ing the</w:t>
      </w:r>
      <w:r w:rsidR="00696D98">
        <w:t xml:space="preserve"> delivery of mutually beneficial works</w:t>
      </w:r>
      <w:r w:rsidR="00D555AA">
        <w:t>,</w:t>
      </w:r>
      <w:r w:rsidR="004C0108">
        <w:t xml:space="preserve"> </w:t>
      </w:r>
      <w:r w:rsidR="00D555AA">
        <w:t>some of which were originally</w:t>
      </w:r>
      <w:r w:rsidR="004C0108">
        <w:t xml:space="preserve"> </w:t>
      </w:r>
      <w:r w:rsidR="00D555AA">
        <w:t>o</w:t>
      </w:r>
      <w:r w:rsidR="004C0108">
        <w:t>utside of the scope</w:t>
      </w:r>
      <w:r w:rsidR="00696D98">
        <w:t xml:space="preserve">.  </w:t>
      </w:r>
    </w:p>
    <w:p w:rsidR="0049602D" w:rsidRDefault="00696D98">
      <w:r>
        <w:t xml:space="preserve">This </w:t>
      </w:r>
      <w:r w:rsidR="00D555AA">
        <w:t>collaborative</w:t>
      </w:r>
      <w:r>
        <w:t xml:space="preserve"> approach, combined with innovative </w:t>
      </w:r>
      <w:r w:rsidR="004C0108">
        <w:t xml:space="preserve">design and build </w:t>
      </w:r>
      <w:r>
        <w:t>solutions</w:t>
      </w:r>
      <w:r w:rsidR="004C0108">
        <w:t>,</w:t>
      </w:r>
      <w:r>
        <w:t xml:space="preserve"> generated over 1</w:t>
      </w:r>
      <w:r w:rsidR="00D555AA">
        <w:t>7</w:t>
      </w:r>
      <w:r>
        <w:t xml:space="preserve">% efficiencies on the contract, worth circa £1.6m.  These efficiencies were </w:t>
      </w:r>
      <w:r w:rsidR="003D37F5">
        <w:t xml:space="preserve">ultimately </w:t>
      </w:r>
      <w:r>
        <w:t>reinvested into the project to ensure the EA were able to deliver ‘more for less’.</w:t>
      </w:r>
    </w:p>
    <w:p w:rsidR="004C0108" w:rsidRDefault="004C0108" w:rsidP="004C0108">
      <w:pPr>
        <w:pStyle w:val="Heading2"/>
      </w:pPr>
      <w:r>
        <w:t>How did we do it?</w:t>
      </w:r>
    </w:p>
    <w:p w:rsidR="009030FD" w:rsidRPr="009030FD" w:rsidRDefault="009030FD" w:rsidP="009030FD">
      <w:r>
        <w:t>The project team had a pro-active approach to efficiency and created a plan to identify, pursue and ultimately claim efficiencies.  Rather than looking for ‘big-ticket’ items, a mantra of ‘little and often’ was adopted and we systematically reviewed the works to ensure maximum efficiency of delivery</w:t>
      </w:r>
      <w:r w:rsidR="00D555AA">
        <w:t xml:space="preserve"> using the following approach</w:t>
      </w:r>
      <w:r>
        <w:t>:</w:t>
      </w:r>
    </w:p>
    <w:p w:rsidR="004C0108" w:rsidRDefault="004C0108" w:rsidP="004C0108">
      <w:pPr>
        <w:pStyle w:val="ListParagraph"/>
        <w:numPr>
          <w:ilvl w:val="0"/>
          <w:numId w:val="1"/>
        </w:numPr>
      </w:pPr>
      <w:r>
        <w:t>Identif</w:t>
      </w:r>
      <w:r w:rsidR="009030FD">
        <w:t>ied</w:t>
      </w:r>
      <w:r>
        <w:t xml:space="preserve"> and </w:t>
      </w:r>
      <w:r w:rsidR="009030FD">
        <w:t>sought</w:t>
      </w:r>
      <w:r>
        <w:t xml:space="preserve"> opportunities to combine work</w:t>
      </w:r>
      <w:r w:rsidR="009030FD">
        <w:t>s</w:t>
      </w:r>
      <w:r>
        <w:t xml:space="preserve"> more efficiently with other stakeholders</w:t>
      </w:r>
    </w:p>
    <w:p w:rsidR="004C0108" w:rsidRDefault="004C0108" w:rsidP="004C0108">
      <w:pPr>
        <w:pStyle w:val="ListParagraph"/>
        <w:numPr>
          <w:ilvl w:val="0"/>
          <w:numId w:val="2"/>
        </w:numPr>
      </w:pPr>
      <w:r>
        <w:t>Secure</w:t>
      </w:r>
      <w:r w:rsidR="009030FD">
        <w:t>d</w:t>
      </w:r>
      <w:r>
        <w:t xml:space="preserve"> financial contributions </w:t>
      </w:r>
      <w:r w:rsidR="009030FD">
        <w:t>for</w:t>
      </w:r>
      <w:r>
        <w:t xml:space="preserve"> planned works</w:t>
      </w:r>
    </w:p>
    <w:p w:rsidR="004C0108" w:rsidRDefault="004C0108" w:rsidP="004C0108">
      <w:pPr>
        <w:pStyle w:val="ListParagraph"/>
        <w:numPr>
          <w:ilvl w:val="0"/>
          <w:numId w:val="2"/>
        </w:numPr>
      </w:pPr>
      <w:r>
        <w:t>Expedite</w:t>
      </w:r>
      <w:r w:rsidR="009030FD">
        <w:t>d</w:t>
      </w:r>
      <w:r>
        <w:t xml:space="preserve"> and </w:t>
      </w:r>
      <w:r w:rsidR="001C5898">
        <w:t>jointly</w:t>
      </w:r>
      <w:r>
        <w:t xml:space="preserve"> deliver</w:t>
      </w:r>
      <w:r w:rsidR="009030FD">
        <w:t>ed</w:t>
      </w:r>
      <w:r>
        <w:t xml:space="preserve"> un-planned works</w:t>
      </w:r>
    </w:p>
    <w:p w:rsidR="004C0108" w:rsidRDefault="004C0108" w:rsidP="004C0108">
      <w:pPr>
        <w:pStyle w:val="ListParagraph"/>
        <w:numPr>
          <w:ilvl w:val="0"/>
          <w:numId w:val="2"/>
        </w:numPr>
      </w:pPr>
      <w:r>
        <w:t>Minimise</w:t>
      </w:r>
      <w:r w:rsidR="009030FD">
        <w:t>d</w:t>
      </w:r>
      <w:r>
        <w:t xml:space="preserve"> mobilisation/demobilisation costs</w:t>
      </w:r>
    </w:p>
    <w:p w:rsidR="004C0108" w:rsidRDefault="004C0108" w:rsidP="004C0108">
      <w:pPr>
        <w:pStyle w:val="ListParagraph"/>
        <w:numPr>
          <w:ilvl w:val="0"/>
          <w:numId w:val="2"/>
        </w:numPr>
      </w:pPr>
      <w:r>
        <w:t>Minimise</w:t>
      </w:r>
      <w:r w:rsidR="009030FD">
        <w:t>d</w:t>
      </w:r>
      <w:r>
        <w:t xml:space="preserve"> disruption to the public</w:t>
      </w:r>
    </w:p>
    <w:p w:rsidR="004C0108" w:rsidRDefault="004C0108" w:rsidP="004C0108">
      <w:pPr>
        <w:pStyle w:val="ListParagraph"/>
        <w:numPr>
          <w:ilvl w:val="0"/>
          <w:numId w:val="1"/>
        </w:numPr>
      </w:pPr>
      <w:r>
        <w:t>Identif</w:t>
      </w:r>
      <w:r w:rsidR="009030FD">
        <w:t>ied those</w:t>
      </w:r>
      <w:r>
        <w:t xml:space="preserve"> activities that carr</w:t>
      </w:r>
      <w:r w:rsidR="009030FD">
        <w:t>ied the most</w:t>
      </w:r>
      <w:r>
        <w:t xml:space="preserve"> significant cost and time impact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Large</w:t>
      </w:r>
      <w:r w:rsidR="009030FD">
        <w:t xml:space="preserve"> or</w:t>
      </w:r>
      <w:r>
        <w:t xml:space="preserve"> discrete items/areas of work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Works around critical infrastructure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Works subject to more stringent legislation (</w:t>
      </w:r>
      <w:r w:rsidR="009030FD">
        <w:t xml:space="preserve">e.g. </w:t>
      </w:r>
      <w:r>
        <w:t>reservoirs)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Works around significant statutory services</w:t>
      </w:r>
    </w:p>
    <w:p w:rsidR="009030FD" w:rsidRDefault="009030FD" w:rsidP="009030FD">
      <w:pPr>
        <w:pStyle w:val="ListParagraph"/>
        <w:ind w:left="1440"/>
      </w:pPr>
    </w:p>
    <w:p w:rsidR="004C0108" w:rsidRDefault="004C0108" w:rsidP="004C0108">
      <w:pPr>
        <w:pStyle w:val="ListParagraph"/>
        <w:numPr>
          <w:ilvl w:val="0"/>
          <w:numId w:val="1"/>
        </w:numPr>
      </w:pPr>
      <w:r>
        <w:t>Challenge</w:t>
      </w:r>
      <w:r w:rsidR="009030FD">
        <w:t>d</w:t>
      </w:r>
      <w:r>
        <w:t xml:space="preserve"> the scope and objectives of the works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Consider</w:t>
      </w:r>
      <w:r w:rsidR="009030FD">
        <w:t>ed</w:t>
      </w:r>
      <w:r>
        <w:t xml:space="preserve"> alternative contracting approach, temporary works, simplif</w:t>
      </w:r>
      <w:r w:rsidR="009030FD">
        <w:t>ied</w:t>
      </w:r>
      <w:r>
        <w:t xml:space="preserve"> proposals  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 xml:space="preserve">Standardised products, </w:t>
      </w:r>
      <w:r w:rsidR="009030FD">
        <w:t xml:space="preserve">utilised </w:t>
      </w:r>
      <w:r>
        <w:t>trenchless solutions</w:t>
      </w:r>
      <w:r w:rsidR="009030FD">
        <w:t xml:space="preserve"> and other</w:t>
      </w:r>
      <w:r>
        <w:t xml:space="preserve"> emerging technologies</w:t>
      </w:r>
      <w:r w:rsidR="009030FD">
        <w:t xml:space="preserve"> (shotcrete, epoxy spray liners)</w:t>
      </w:r>
    </w:p>
    <w:p w:rsidR="001C5898" w:rsidRDefault="009030FD" w:rsidP="001C5898">
      <w:pPr>
        <w:pStyle w:val="ListParagraph"/>
        <w:numPr>
          <w:ilvl w:val="1"/>
          <w:numId w:val="1"/>
        </w:numPr>
      </w:pPr>
      <w:r>
        <w:t>Sought p</w:t>
      </w:r>
      <w:r w:rsidR="001C5898">
        <w:t>assive designs rather than actively managed ones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Work</w:t>
      </w:r>
      <w:r w:rsidR="009030FD">
        <w:t>ed</w:t>
      </w:r>
      <w:r>
        <w:t xml:space="preserve"> with Statutory Undertakers to ‘accommodate’ services</w:t>
      </w:r>
      <w:r w:rsidR="009030FD">
        <w:t xml:space="preserve"> and future-proof</w:t>
      </w:r>
    </w:p>
    <w:p w:rsidR="009030FD" w:rsidRDefault="009030FD" w:rsidP="009030FD">
      <w:pPr>
        <w:pStyle w:val="ListParagraph"/>
        <w:ind w:left="1440"/>
      </w:pPr>
    </w:p>
    <w:p w:rsidR="004C0108" w:rsidRDefault="004C0108" w:rsidP="004C0108">
      <w:pPr>
        <w:pStyle w:val="ListParagraph"/>
        <w:numPr>
          <w:ilvl w:val="0"/>
          <w:numId w:val="1"/>
        </w:numPr>
      </w:pPr>
      <w:r>
        <w:t>Consider</w:t>
      </w:r>
      <w:r w:rsidR="009030FD">
        <w:t>ed,</w:t>
      </w:r>
      <w:r>
        <w:t xml:space="preserve"> and tr</w:t>
      </w:r>
      <w:r w:rsidR="009030FD">
        <w:t>ied</w:t>
      </w:r>
      <w:r>
        <w:t xml:space="preserve"> to better</w:t>
      </w:r>
      <w:r w:rsidR="009030FD">
        <w:t>,</w:t>
      </w:r>
      <w:r>
        <w:t xml:space="preserve"> how the asset w</w:t>
      </w:r>
      <w:r w:rsidR="009030FD">
        <w:t>ould</w:t>
      </w:r>
      <w:r>
        <w:t xml:space="preserve"> be installed/refurbished, operated and maintained.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Improve</w:t>
      </w:r>
      <w:r w:rsidR="009030FD">
        <w:t>d</w:t>
      </w:r>
      <w:r>
        <w:t xml:space="preserve"> access in to </w:t>
      </w:r>
      <w:r w:rsidR="009030FD">
        <w:t>working</w:t>
      </w:r>
      <w:r>
        <w:t xml:space="preserve"> area</w:t>
      </w:r>
      <w:r w:rsidR="009030FD">
        <w:t>s</w:t>
      </w:r>
      <w:r>
        <w:t>/asset to maximise efficiency of construction ease maintenance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Minimise</w:t>
      </w:r>
      <w:r w:rsidR="008D63C0">
        <w:t>d</w:t>
      </w:r>
      <w:r>
        <w:t xml:space="preserve"> temporary works by utilising existing structures in proposed works</w:t>
      </w:r>
    </w:p>
    <w:p w:rsidR="009030FD" w:rsidRDefault="009030FD" w:rsidP="001C5898">
      <w:pPr>
        <w:pStyle w:val="ListParagraph"/>
        <w:numPr>
          <w:ilvl w:val="1"/>
          <w:numId w:val="1"/>
        </w:numPr>
      </w:pPr>
      <w:r>
        <w:t xml:space="preserve">Rationalised the number of temporary works setups (incl. over-pumping) to </w:t>
      </w:r>
      <w:r w:rsidR="008D63C0">
        <w:t>reduce</w:t>
      </w:r>
      <w:r>
        <w:t xml:space="preserve"> setup/dismantle costs</w:t>
      </w:r>
    </w:p>
    <w:p w:rsidR="001C5898" w:rsidRDefault="001C5898" w:rsidP="001C5898">
      <w:pPr>
        <w:pStyle w:val="ListParagraph"/>
        <w:numPr>
          <w:ilvl w:val="1"/>
          <w:numId w:val="1"/>
        </w:numPr>
      </w:pPr>
      <w:r>
        <w:t>Th</w:t>
      </w:r>
      <w:r w:rsidR="009030FD">
        <w:t xml:space="preserve">ought </w:t>
      </w:r>
      <w:r>
        <w:t xml:space="preserve">strategically about maintenance </w:t>
      </w:r>
      <w:r w:rsidR="009030FD">
        <w:t>to</w:t>
      </w:r>
      <w:r>
        <w:t xml:space="preserve"> avoid unnecessary equipment </w:t>
      </w:r>
      <w:r w:rsidR="008D63C0">
        <w:t>purchase</w:t>
      </w:r>
    </w:p>
    <w:p w:rsidR="001C5898" w:rsidRDefault="001C5898" w:rsidP="001C5898"/>
    <w:p w:rsidR="009030FD" w:rsidRDefault="009030FD" w:rsidP="009030FD">
      <w:pPr>
        <w:pStyle w:val="Heading3"/>
      </w:pPr>
      <w:r>
        <w:t>What did we achieve?</w:t>
      </w:r>
    </w:p>
    <w:p w:rsidR="009030FD" w:rsidRPr="009030FD" w:rsidRDefault="009030FD" w:rsidP="009030FD">
      <w:r>
        <w:t xml:space="preserve">We </w:t>
      </w:r>
      <w:r w:rsidR="008D63C0">
        <w:t xml:space="preserve">successfully claimed more than </w:t>
      </w:r>
      <w:r>
        <w:t>£1.6million of efficienc</w:t>
      </w:r>
      <w:r w:rsidR="008D63C0">
        <w:t>ies during the construction period,</w:t>
      </w:r>
      <w:r>
        <w:t xml:space="preserve"> </w:t>
      </w:r>
      <w:r w:rsidR="008D63C0">
        <w:t>some of the highlights are summarised</w:t>
      </w:r>
      <w:r>
        <w:t xml:space="preserve"> as follows:</w:t>
      </w:r>
    </w:p>
    <w:p w:rsidR="008D63C0" w:rsidRDefault="008D63C0" w:rsidP="00D74777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8D63C0">
        <w:rPr>
          <w:rFonts w:asciiTheme="minorHAnsi" w:hAnsiTheme="minorHAnsi" w:cstheme="minorHAnsi"/>
        </w:rPr>
        <w:t>£244K by altering</w:t>
      </w:r>
      <w:r w:rsidR="009030FD" w:rsidRPr="008D63C0">
        <w:rPr>
          <w:rFonts w:asciiTheme="minorHAnsi" w:hAnsiTheme="minorHAnsi" w:cstheme="minorHAnsi"/>
        </w:rPr>
        <w:t xml:space="preserve"> temporary works methodology </w:t>
      </w:r>
    </w:p>
    <w:p w:rsidR="009030FD" w:rsidRPr="008D63C0" w:rsidRDefault="008D63C0" w:rsidP="00D74777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£450K by utilising a</w:t>
      </w:r>
      <w:r w:rsidR="009030FD" w:rsidRPr="008D63C0">
        <w:rPr>
          <w:rFonts w:asciiTheme="minorHAnsi" w:hAnsiTheme="minorHAnsi" w:cstheme="minorHAnsi"/>
        </w:rPr>
        <w:t xml:space="preserve">lternative construction techniques/materials such as GRP lining </w:t>
      </w:r>
    </w:p>
    <w:p w:rsidR="009030FD" w:rsidRPr="001F76FF" w:rsidRDefault="008D63C0" w:rsidP="009030FD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£250K by c</w:t>
      </w:r>
      <w:r w:rsidR="009030FD" w:rsidRPr="001F76FF">
        <w:rPr>
          <w:rFonts w:asciiTheme="minorHAnsi" w:hAnsiTheme="minorHAnsi" w:cstheme="minorHAnsi"/>
        </w:rPr>
        <w:t xml:space="preserve">hallenge of design principles </w:t>
      </w:r>
      <w:r>
        <w:rPr>
          <w:rFonts w:asciiTheme="minorHAnsi" w:hAnsiTheme="minorHAnsi" w:cstheme="minorHAnsi"/>
        </w:rPr>
        <w:t>and doing something different</w:t>
      </w:r>
    </w:p>
    <w:p w:rsidR="008D63C0" w:rsidRDefault="009030FD" w:rsidP="009030FD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F76FF">
        <w:rPr>
          <w:rFonts w:asciiTheme="minorHAnsi" w:hAnsiTheme="minorHAnsi" w:cstheme="minorHAnsi"/>
        </w:rPr>
        <w:t xml:space="preserve">£300K </w:t>
      </w:r>
      <w:r w:rsidR="008D63C0">
        <w:rPr>
          <w:rFonts w:asciiTheme="minorHAnsi" w:hAnsiTheme="minorHAnsi" w:cstheme="minorHAnsi"/>
        </w:rPr>
        <w:t xml:space="preserve">by working around planned statutory </w:t>
      </w:r>
      <w:r w:rsidRPr="001F76FF">
        <w:rPr>
          <w:rFonts w:asciiTheme="minorHAnsi" w:hAnsiTheme="minorHAnsi" w:cstheme="minorHAnsi"/>
        </w:rPr>
        <w:t>service diversions</w:t>
      </w:r>
    </w:p>
    <w:p w:rsidR="009030FD" w:rsidRPr="001F76FF" w:rsidRDefault="008D63C0" w:rsidP="009030FD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£107K by re-programming to avoid in-channel works in winter periods</w:t>
      </w:r>
      <w:r w:rsidR="009030FD" w:rsidRPr="001F76FF">
        <w:rPr>
          <w:rFonts w:asciiTheme="minorHAnsi" w:hAnsiTheme="minorHAnsi" w:cstheme="minorHAnsi"/>
        </w:rPr>
        <w:t xml:space="preserve"> </w:t>
      </w:r>
    </w:p>
    <w:p w:rsidR="009030FD" w:rsidRDefault="009030FD" w:rsidP="008D63C0">
      <w:pPr>
        <w:pStyle w:val="Heading3"/>
      </w:pPr>
    </w:p>
    <w:p w:rsidR="009030FD" w:rsidRDefault="008D63C0" w:rsidP="008D63C0">
      <w:pPr>
        <w:pStyle w:val="Heading3"/>
      </w:pPr>
      <w:r>
        <w:t>In Summary</w:t>
      </w:r>
    </w:p>
    <w:p w:rsidR="008D63C0" w:rsidRPr="008D63C0" w:rsidRDefault="008D63C0" w:rsidP="008D63C0">
      <w:r>
        <w:t>Truly open and honest collaboration builds great project teams and leads to significant efficiencies and the ultimately, delivery of a better solution for all.</w:t>
      </w:r>
      <w:bookmarkStart w:id="0" w:name="_GoBack"/>
      <w:bookmarkEnd w:id="0"/>
    </w:p>
    <w:sectPr w:rsidR="008D63C0" w:rsidRPr="008D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CE9"/>
    <w:multiLevelType w:val="hybridMultilevel"/>
    <w:tmpl w:val="7E668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98B"/>
    <w:multiLevelType w:val="hybridMultilevel"/>
    <w:tmpl w:val="80886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608DB"/>
    <w:multiLevelType w:val="hybridMultilevel"/>
    <w:tmpl w:val="C6C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2711"/>
    <w:multiLevelType w:val="hybridMultilevel"/>
    <w:tmpl w:val="CD4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110B"/>
    <w:multiLevelType w:val="hybridMultilevel"/>
    <w:tmpl w:val="1C6EF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2D"/>
    <w:rsid w:val="00095EE6"/>
    <w:rsid w:val="001C5898"/>
    <w:rsid w:val="003D37F5"/>
    <w:rsid w:val="0049602D"/>
    <w:rsid w:val="004C0108"/>
    <w:rsid w:val="00696D98"/>
    <w:rsid w:val="008D63C0"/>
    <w:rsid w:val="009030FD"/>
    <w:rsid w:val="009C5D48"/>
    <w:rsid w:val="00D50D7F"/>
    <w:rsid w:val="00D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14F9"/>
  <w15:chartTrackingRefBased/>
  <w15:docId w15:val="{61E8125C-31AD-42E1-AC33-99C02B6E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2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C0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0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Darville</dc:creator>
  <cp:keywords/>
  <dc:description/>
  <cp:lastModifiedBy>Ben Darville</cp:lastModifiedBy>
  <cp:revision>3</cp:revision>
  <dcterms:created xsi:type="dcterms:W3CDTF">2018-04-17T13:24:00Z</dcterms:created>
  <dcterms:modified xsi:type="dcterms:W3CDTF">2018-04-18T10:35:00Z</dcterms:modified>
</cp:coreProperties>
</file>